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27" w:rsidRPr="00F440E0" w:rsidRDefault="00F440E0">
      <w:pPr>
        <w:rPr>
          <w:rFonts w:ascii="Times New Roman" w:hAnsi="Times New Roman"/>
          <w:b/>
          <w:kern w:val="36"/>
          <w:sz w:val="28"/>
          <w:szCs w:val="28"/>
        </w:rPr>
      </w:pPr>
      <w:r w:rsidRPr="00F440E0">
        <w:rPr>
          <w:rFonts w:ascii="Times New Roman" w:hAnsi="Times New Roman"/>
          <w:b/>
          <w:sz w:val="28"/>
          <w:szCs w:val="28"/>
        </w:rPr>
        <w:t xml:space="preserve">Анализ </w:t>
      </w:r>
      <w:r w:rsidRPr="00F440E0">
        <w:rPr>
          <w:rFonts w:ascii="Times New Roman" w:hAnsi="Times New Roman"/>
          <w:b/>
          <w:kern w:val="36"/>
          <w:sz w:val="28"/>
          <w:szCs w:val="28"/>
        </w:rPr>
        <w:t xml:space="preserve">состояния безопасности движения на железнодорожном транспорте общего и </w:t>
      </w:r>
      <w:proofErr w:type="spellStart"/>
      <w:r w:rsidRPr="00F440E0">
        <w:rPr>
          <w:rFonts w:ascii="Times New Roman" w:hAnsi="Times New Roman"/>
          <w:b/>
          <w:kern w:val="36"/>
          <w:sz w:val="28"/>
          <w:szCs w:val="28"/>
        </w:rPr>
        <w:t>необщего</w:t>
      </w:r>
      <w:proofErr w:type="spellEnd"/>
      <w:r w:rsidRPr="00F440E0">
        <w:rPr>
          <w:rFonts w:ascii="Times New Roman" w:hAnsi="Times New Roman"/>
          <w:b/>
          <w:kern w:val="36"/>
          <w:sz w:val="28"/>
          <w:szCs w:val="28"/>
        </w:rPr>
        <w:t xml:space="preserve"> пользования (промышленные предприятия) за </w:t>
      </w:r>
      <w:r w:rsidRPr="00F440E0">
        <w:rPr>
          <w:rFonts w:ascii="Times New Roman" w:hAnsi="Times New Roman"/>
          <w:b/>
          <w:kern w:val="36"/>
          <w:sz w:val="28"/>
          <w:szCs w:val="28"/>
          <w:lang w:val="en-US"/>
        </w:rPr>
        <w:t>IV</w:t>
      </w:r>
      <w:r w:rsidRPr="00F440E0">
        <w:rPr>
          <w:rFonts w:ascii="Times New Roman" w:hAnsi="Times New Roman"/>
          <w:b/>
          <w:kern w:val="36"/>
          <w:sz w:val="28"/>
          <w:szCs w:val="28"/>
        </w:rPr>
        <w:t xml:space="preserve"> квартал 2024 года</w:t>
      </w:r>
    </w:p>
    <w:p w:rsidR="00F440E0" w:rsidRPr="00F440E0" w:rsidRDefault="00F440E0" w:rsidP="00F440E0">
      <w:pPr>
        <w:pStyle w:val="20"/>
        <w:spacing w:after="0" w:line="276" w:lineRule="auto"/>
        <w:contextualSpacing/>
        <w:jc w:val="both"/>
        <w:rPr>
          <w:b w:val="0"/>
          <w:spacing w:val="0"/>
          <w:sz w:val="28"/>
          <w:szCs w:val="28"/>
        </w:rPr>
      </w:pPr>
      <w:r w:rsidRPr="00F440E0">
        <w:rPr>
          <w:b w:val="0"/>
          <w:spacing w:val="0"/>
          <w:sz w:val="28"/>
          <w:szCs w:val="28"/>
        </w:rPr>
        <w:t xml:space="preserve">По завершению </w:t>
      </w:r>
      <w:r w:rsidRPr="00F440E0">
        <w:rPr>
          <w:b w:val="0"/>
          <w:spacing w:val="0"/>
          <w:sz w:val="28"/>
          <w:szCs w:val="28"/>
          <w:lang w:val="en-US"/>
        </w:rPr>
        <w:t>IV</w:t>
      </w:r>
      <w:r w:rsidRPr="00F440E0">
        <w:rPr>
          <w:b w:val="0"/>
          <w:spacing w:val="0"/>
          <w:sz w:val="28"/>
          <w:szCs w:val="28"/>
        </w:rPr>
        <w:t xml:space="preserve"> квартала 2024 года МТУ </w:t>
      </w:r>
      <w:proofErr w:type="spellStart"/>
      <w:r w:rsidRPr="00F440E0">
        <w:rPr>
          <w:b w:val="0"/>
          <w:spacing w:val="0"/>
          <w:sz w:val="28"/>
          <w:szCs w:val="28"/>
        </w:rPr>
        <w:t>Ространснадзора</w:t>
      </w:r>
      <w:proofErr w:type="spellEnd"/>
      <w:r w:rsidRPr="00F440E0">
        <w:rPr>
          <w:b w:val="0"/>
          <w:spacing w:val="0"/>
          <w:sz w:val="28"/>
          <w:szCs w:val="28"/>
        </w:rPr>
        <w:t xml:space="preserve"> по СФО проведен анализ состояния безопасности движения на железнодорожном транспорте общего и </w:t>
      </w:r>
      <w:proofErr w:type="spellStart"/>
      <w:r w:rsidRPr="00F440E0">
        <w:rPr>
          <w:b w:val="0"/>
          <w:spacing w:val="0"/>
          <w:sz w:val="28"/>
          <w:szCs w:val="28"/>
        </w:rPr>
        <w:t>необщего</w:t>
      </w:r>
      <w:proofErr w:type="spellEnd"/>
      <w:r w:rsidRPr="00F440E0">
        <w:rPr>
          <w:b w:val="0"/>
          <w:spacing w:val="0"/>
          <w:sz w:val="28"/>
          <w:szCs w:val="28"/>
        </w:rPr>
        <w:t xml:space="preserve"> пользования (промышленные предприятия).</w:t>
      </w:r>
    </w:p>
    <w:p w:rsidR="00F440E0" w:rsidRPr="00F440E0" w:rsidRDefault="00F440E0" w:rsidP="00F440E0">
      <w:pPr>
        <w:pStyle w:val="20"/>
        <w:spacing w:after="0" w:line="360" w:lineRule="exact"/>
        <w:contextualSpacing/>
        <w:jc w:val="both"/>
        <w:rPr>
          <w:b w:val="0"/>
          <w:spacing w:val="0"/>
          <w:sz w:val="28"/>
          <w:szCs w:val="28"/>
        </w:rPr>
      </w:pPr>
    </w:p>
    <w:p w:rsidR="00F440E0" w:rsidRPr="00F440E0" w:rsidRDefault="00F440E0" w:rsidP="00F440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40E0">
        <w:rPr>
          <w:rFonts w:ascii="Times New Roman" w:hAnsi="Times New Roman"/>
          <w:sz w:val="28"/>
          <w:szCs w:val="28"/>
        </w:rPr>
        <w:t xml:space="preserve">В указанный период на </w:t>
      </w:r>
      <w:r w:rsidRPr="00F440E0">
        <w:rPr>
          <w:rFonts w:ascii="Times New Roman" w:hAnsi="Times New Roman"/>
          <w:color w:val="000000" w:themeColor="text1"/>
          <w:sz w:val="28"/>
          <w:szCs w:val="28"/>
        </w:rPr>
        <w:t xml:space="preserve">поднадзорных МТУ </w:t>
      </w:r>
      <w:proofErr w:type="spellStart"/>
      <w:r w:rsidRPr="00F440E0">
        <w:rPr>
          <w:rFonts w:ascii="Times New Roman" w:hAnsi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F440E0">
        <w:rPr>
          <w:rFonts w:ascii="Times New Roman" w:hAnsi="Times New Roman"/>
          <w:color w:val="000000" w:themeColor="text1"/>
          <w:sz w:val="28"/>
          <w:szCs w:val="28"/>
        </w:rPr>
        <w:t xml:space="preserve"> по СФО железнодорожных путях общего пользования допущено 7 сходов железнодорожного подвижного состава, что на 46 % ниже за аналогичный</w:t>
      </w:r>
      <w:r w:rsidRPr="00F440E0">
        <w:rPr>
          <w:rFonts w:ascii="Times New Roman" w:hAnsi="Times New Roman"/>
          <w:sz w:val="28"/>
          <w:szCs w:val="28"/>
        </w:rPr>
        <w:t xml:space="preserve"> период 2023 года.</w:t>
      </w:r>
    </w:p>
    <w:p w:rsidR="00F440E0" w:rsidRPr="00F440E0" w:rsidRDefault="00F440E0" w:rsidP="00F440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40E0" w:rsidRPr="00F440E0" w:rsidRDefault="00F440E0" w:rsidP="00F440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40E0">
        <w:rPr>
          <w:rFonts w:ascii="Times New Roman" w:hAnsi="Times New Roman"/>
          <w:sz w:val="28"/>
          <w:szCs w:val="28"/>
        </w:rPr>
        <w:t xml:space="preserve">На железнодорожных путях </w:t>
      </w:r>
      <w:proofErr w:type="spellStart"/>
      <w:r w:rsidRPr="00F440E0">
        <w:rPr>
          <w:rFonts w:ascii="Times New Roman" w:hAnsi="Times New Roman"/>
          <w:sz w:val="28"/>
          <w:szCs w:val="28"/>
        </w:rPr>
        <w:t>необщего</w:t>
      </w:r>
      <w:proofErr w:type="spellEnd"/>
      <w:r w:rsidRPr="00F440E0">
        <w:rPr>
          <w:rFonts w:ascii="Times New Roman" w:hAnsi="Times New Roman"/>
          <w:sz w:val="28"/>
          <w:szCs w:val="28"/>
        </w:rPr>
        <w:t xml:space="preserve"> пользования, допущено 14 сходов железнодорожного подвижного состава, что на  44 % ниже за аналогичный период 2023 года.</w:t>
      </w:r>
    </w:p>
    <w:p w:rsidR="00F440E0" w:rsidRPr="00F440E0" w:rsidRDefault="00F440E0" w:rsidP="00F440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40E0" w:rsidRPr="00F440E0" w:rsidRDefault="00F440E0" w:rsidP="00F440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40E0">
        <w:rPr>
          <w:rFonts w:ascii="Times New Roman" w:hAnsi="Times New Roman"/>
          <w:sz w:val="28"/>
          <w:szCs w:val="28"/>
        </w:rPr>
        <w:t>В результате анализа</w:t>
      </w:r>
      <w:bookmarkStart w:id="0" w:name="_Hlk31203514"/>
      <w:r w:rsidRPr="00F440E0">
        <w:rPr>
          <w:rFonts w:ascii="Times New Roman" w:hAnsi="Times New Roman"/>
          <w:sz w:val="28"/>
          <w:szCs w:val="28"/>
        </w:rPr>
        <w:t xml:space="preserve"> сходов железнодорожного подвижного состава</w:t>
      </w:r>
      <w:bookmarkEnd w:id="0"/>
      <w:r w:rsidRPr="00F440E0">
        <w:rPr>
          <w:rFonts w:ascii="Times New Roman" w:hAnsi="Times New Roman"/>
          <w:sz w:val="28"/>
          <w:szCs w:val="28"/>
        </w:rPr>
        <w:t xml:space="preserve"> на путях общего пользования установлено:</w:t>
      </w:r>
    </w:p>
    <w:p w:rsidR="00F440E0" w:rsidRPr="00F440E0" w:rsidRDefault="00F440E0" w:rsidP="00F440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0E0">
        <w:rPr>
          <w:rFonts w:ascii="Times New Roman" w:hAnsi="Times New Roman"/>
          <w:sz w:val="28"/>
          <w:szCs w:val="28"/>
        </w:rPr>
        <w:t>5 событий (72 % от общего числа сходов) произошли по причине нарушения правил организации поездной и маневровой работы;</w:t>
      </w:r>
    </w:p>
    <w:p w:rsidR="00F440E0" w:rsidRPr="00F440E0" w:rsidRDefault="00F440E0" w:rsidP="00F440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0E0">
        <w:rPr>
          <w:rFonts w:ascii="Times New Roman" w:hAnsi="Times New Roman"/>
          <w:sz w:val="28"/>
          <w:szCs w:val="28"/>
        </w:rPr>
        <w:t xml:space="preserve">1 событие (14 % от общего числа сходов) произошло по причине неудовлетворительного текущего </w:t>
      </w:r>
      <w:r w:rsidRPr="00F440E0">
        <w:rPr>
          <w:rFonts w:ascii="Times New Roman" w:hAnsi="Times New Roman"/>
          <w:color w:val="000000" w:themeColor="text1"/>
          <w:sz w:val="28"/>
          <w:szCs w:val="28"/>
        </w:rPr>
        <w:t>содержания пути;</w:t>
      </w:r>
    </w:p>
    <w:p w:rsidR="00F440E0" w:rsidRPr="00F440E0" w:rsidRDefault="00F440E0" w:rsidP="00F440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0E0">
        <w:rPr>
          <w:rFonts w:ascii="Times New Roman" w:hAnsi="Times New Roman"/>
          <w:sz w:val="28"/>
          <w:szCs w:val="28"/>
        </w:rPr>
        <w:t xml:space="preserve">1 событие (14 % от общего числа сходов) причина устанавливается, МТУ </w:t>
      </w:r>
      <w:proofErr w:type="spellStart"/>
      <w:r w:rsidRPr="00F440E0">
        <w:rPr>
          <w:rFonts w:ascii="Times New Roman" w:hAnsi="Times New Roman"/>
          <w:sz w:val="28"/>
          <w:szCs w:val="28"/>
        </w:rPr>
        <w:t>Ространснадзора</w:t>
      </w:r>
      <w:proofErr w:type="spellEnd"/>
      <w:r w:rsidRPr="00F440E0">
        <w:rPr>
          <w:rFonts w:ascii="Times New Roman" w:hAnsi="Times New Roman"/>
          <w:sz w:val="28"/>
          <w:szCs w:val="28"/>
        </w:rPr>
        <w:t xml:space="preserve"> по СФО создана комиссия для расследования транспортного события.</w:t>
      </w:r>
    </w:p>
    <w:p w:rsidR="00F440E0" w:rsidRDefault="00F440E0"/>
    <w:p w:rsidR="00F440E0" w:rsidRDefault="00F440E0"/>
    <w:p w:rsidR="00F440E0" w:rsidRDefault="00F440E0"/>
    <w:p w:rsidR="00F440E0" w:rsidRDefault="00F440E0"/>
    <w:p w:rsidR="00F440E0" w:rsidRDefault="00F440E0"/>
    <w:p w:rsidR="00F440E0" w:rsidRDefault="00F440E0"/>
    <w:p w:rsidR="00F440E0" w:rsidRDefault="00F440E0"/>
    <w:p w:rsidR="00F440E0" w:rsidRDefault="00F440E0"/>
    <w:p w:rsidR="00F440E0" w:rsidRDefault="00F440E0"/>
    <w:p w:rsidR="00F440E0" w:rsidRDefault="00F440E0"/>
    <w:p w:rsidR="00F440E0" w:rsidRDefault="00F440E0">
      <w:r w:rsidRPr="00F440E0">
        <w:lastRenderedPageBreak/>
        <w:drawing>
          <wp:inline distT="0" distB="0" distL="0" distR="0">
            <wp:extent cx="5940425" cy="3922679"/>
            <wp:effectExtent l="19050" t="0" r="22225" b="162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440E0" w:rsidRDefault="00F440E0"/>
    <w:p w:rsidR="00F440E0" w:rsidRDefault="00F440E0" w:rsidP="00F440E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причинами сходов железнодорожного подвижного состава на железнодорожных путях </w:t>
      </w:r>
      <w:proofErr w:type="spellStart"/>
      <w:r>
        <w:rPr>
          <w:rFonts w:ascii="Times New Roman" w:hAnsi="Times New Roman"/>
          <w:sz w:val="28"/>
          <w:szCs w:val="28"/>
        </w:rPr>
        <w:t>необщего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года явились:</w:t>
      </w:r>
    </w:p>
    <w:p w:rsidR="00F440E0" w:rsidRDefault="00F440E0" w:rsidP="00F440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событий по причине </w:t>
      </w:r>
      <w:r w:rsidRPr="004D4E6D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я</w:t>
      </w:r>
      <w:r w:rsidRPr="004D4E6D">
        <w:rPr>
          <w:rFonts w:ascii="Times New Roman" w:hAnsi="Times New Roman"/>
          <w:sz w:val="28"/>
          <w:szCs w:val="28"/>
        </w:rPr>
        <w:t xml:space="preserve"> правил организации маневровой работы</w:t>
      </w:r>
      <w:r>
        <w:rPr>
          <w:rFonts w:ascii="Times New Roman" w:hAnsi="Times New Roman"/>
          <w:sz w:val="28"/>
          <w:szCs w:val="28"/>
        </w:rPr>
        <w:t xml:space="preserve"> (57 % </w:t>
      </w:r>
      <w:r w:rsidRPr="00126C7B">
        <w:rPr>
          <w:rFonts w:ascii="Times New Roman" w:hAnsi="Times New Roman"/>
          <w:sz w:val="28"/>
          <w:szCs w:val="28"/>
        </w:rPr>
        <w:t>от общего числа сходов</w:t>
      </w:r>
      <w:r>
        <w:rPr>
          <w:rFonts w:ascii="Times New Roman" w:hAnsi="Times New Roman"/>
          <w:sz w:val="28"/>
          <w:szCs w:val="28"/>
        </w:rPr>
        <w:t>)</w:t>
      </w:r>
      <w:r w:rsidRPr="00B50BF1">
        <w:rPr>
          <w:rFonts w:ascii="Times New Roman" w:hAnsi="Times New Roman"/>
          <w:sz w:val="28"/>
          <w:szCs w:val="28"/>
        </w:rPr>
        <w:t>;</w:t>
      </w:r>
    </w:p>
    <w:p w:rsidR="00F440E0" w:rsidRPr="00265C2A" w:rsidRDefault="00F440E0" w:rsidP="00F440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событий по причине неудовлетворительного текущего содержания железнодорожного пути (36 % </w:t>
      </w:r>
      <w:r w:rsidRPr="00126C7B">
        <w:rPr>
          <w:rFonts w:ascii="Times New Roman" w:hAnsi="Times New Roman"/>
          <w:sz w:val="28"/>
          <w:szCs w:val="28"/>
        </w:rPr>
        <w:t>от общего числа сходов</w:t>
      </w:r>
      <w:r>
        <w:rPr>
          <w:rFonts w:ascii="Times New Roman" w:hAnsi="Times New Roman"/>
          <w:sz w:val="28"/>
          <w:szCs w:val="28"/>
        </w:rPr>
        <w:t>);</w:t>
      </w:r>
    </w:p>
    <w:p w:rsidR="00F440E0" w:rsidRPr="00265C2A" w:rsidRDefault="00F440E0" w:rsidP="00F440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6C7B">
        <w:rPr>
          <w:rFonts w:ascii="Times New Roman" w:hAnsi="Times New Roman"/>
          <w:sz w:val="28"/>
          <w:szCs w:val="28"/>
        </w:rPr>
        <w:t xml:space="preserve">1 событие </w:t>
      </w:r>
      <w:r>
        <w:rPr>
          <w:rFonts w:ascii="Times New Roman" w:hAnsi="Times New Roman"/>
          <w:sz w:val="28"/>
          <w:szCs w:val="28"/>
        </w:rPr>
        <w:t>(7</w:t>
      </w:r>
      <w:r w:rsidRPr="00126C7B">
        <w:rPr>
          <w:rFonts w:ascii="Times New Roman" w:hAnsi="Times New Roman"/>
          <w:sz w:val="28"/>
          <w:szCs w:val="28"/>
        </w:rPr>
        <w:t xml:space="preserve"> % от общего числа сходов) произошло по причине нарушения технологии </w:t>
      </w:r>
      <w:r w:rsidRPr="00265C2A">
        <w:rPr>
          <w:rFonts w:ascii="Times New Roman" w:hAnsi="Times New Roman"/>
          <w:sz w:val="28"/>
          <w:szCs w:val="28"/>
        </w:rPr>
        <w:t>производства путевых работ</w:t>
      </w:r>
      <w:r>
        <w:rPr>
          <w:rFonts w:ascii="Times New Roman" w:hAnsi="Times New Roman"/>
          <w:sz w:val="28"/>
          <w:szCs w:val="28"/>
        </w:rPr>
        <w:t>.</w:t>
      </w:r>
    </w:p>
    <w:p w:rsidR="00F440E0" w:rsidRDefault="00F440E0"/>
    <w:p w:rsidR="00F440E0" w:rsidRDefault="00F440E0">
      <w:r w:rsidRPr="00F440E0">
        <w:lastRenderedPageBreak/>
        <w:drawing>
          <wp:inline distT="0" distB="0" distL="0" distR="0">
            <wp:extent cx="5940425" cy="3773693"/>
            <wp:effectExtent l="19050" t="0" r="222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40E0" w:rsidRDefault="00F440E0"/>
    <w:p w:rsidR="00F440E0" w:rsidRDefault="00F440E0"/>
    <w:p w:rsidR="00F440E0" w:rsidRDefault="00F440E0"/>
    <w:sectPr w:rsidR="00F440E0" w:rsidSect="008D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11E3C"/>
    <w:multiLevelType w:val="hybridMultilevel"/>
    <w:tmpl w:val="5F7EC0D6"/>
    <w:lvl w:ilvl="0" w:tplc="AFF84D42">
      <w:start w:val="1"/>
      <w:numFmt w:val="bullet"/>
      <w:suff w:val="space"/>
      <w:lvlText w:val=""/>
      <w:lvlJc w:val="left"/>
      <w:pPr>
        <w:ind w:left="56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440E0"/>
    <w:rsid w:val="00151A82"/>
    <w:rsid w:val="001B4ED8"/>
    <w:rsid w:val="008D3B27"/>
    <w:rsid w:val="00CA7C44"/>
    <w:rsid w:val="00D237CE"/>
    <w:rsid w:val="00EC4EFD"/>
    <w:rsid w:val="00EE41AF"/>
    <w:rsid w:val="00F4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F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C4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C4EFD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F440E0"/>
    <w:rPr>
      <w:rFonts w:ascii="Times New Roman" w:eastAsia="Times New Roman" w:hAnsi="Times New Roman"/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0E0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/>
      <w:b/>
      <w:bCs/>
      <w:spacing w:val="11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0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53;&#1086;&#1074;&#1086;&#1089;&#1090;&#1080;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53;&#1086;&#1074;&#1086;&#1089;&#1090;&#1080;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4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+mn-cs"/>
              </a:defRPr>
            </a:pPr>
            <a:r>
              <a:rPr lang="ru-RU" sz="1400" b="1" i="0" baseline="0"/>
              <a:t>Причины сходов железнодорожного подвижного состава, допущенных на железнодорожных путях общего пользования за </a:t>
            </a:r>
            <a:r>
              <a:rPr lang="en-US" sz="1400" b="1" i="0" baseline="0"/>
              <a:t>IV </a:t>
            </a:r>
            <a:r>
              <a:rPr lang="ru-RU" sz="1400" b="1" i="0" baseline="0"/>
              <a:t>квартал 2024 года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4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+mn-cs"/>
              </a:defRPr>
            </a:pPr>
            <a:endParaRPr lang="ru-RU"/>
          </a:p>
        </c:rich>
      </c:tx>
      <c:layout/>
    </c:title>
    <c:plotArea>
      <c:layout>
        <c:manualLayout>
          <c:layoutTarget val="inner"/>
          <c:xMode val="edge"/>
          <c:yMode val="edge"/>
          <c:x val="0.17217070757004702"/>
          <c:y val="0.30709215396369832"/>
          <c:w val="0.34882117982059452"/>
          <c:h val="0.47642302060695141"/>
        </c:manualLayout>
      </c:layout>
      <c:pieChart>
        <c:varyColors val="1"/>
        <c:ser>
          <c:idx val="0"/>
          <c:order val="0"/>
          <c:explosion val="7"/>
          <c:dLbls>
            <c:dLbl>
              <c:idx val="0"/>
              <c:layout>
                <c:manualLayout>
                  <c:x val="2.8108162114141553E-2"/>
                  <c:y val="-2.6512311071741616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4.0949150695016867E-2"/>
                  <c:y val="-1.5775536125686433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3.3680613668247684E-2"/>
                  <c:y val="-3.2273842884269745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1.7446786286685504E-2"/>
                  <c:y val="-2.9343516719102805E-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-1.3565889402751517E-2"/>
                  <c:y val="-2.0512815779685452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-1.8659878762880815E-2"/>
                  <c:y val="-2.0552335936831503E-2"/>
                </c:manualLayout>
              </c:layout>
              <c:dLblPos val="bestFit"/>
              <c:showVal val="1"/>
            </c:dLbl>
            <c:dLblPos val="outEnd"/>
            <c:showVal val="1"/>
            <c:showLeaderLines val="1"/>
          </c:dLbls>
          <c:cat>
            <c:strRef>
              <c:f>(Лист1!$D$28,Лист1!$D$27,Лист1!$D$34)</c:f>
              <c:strCache>
                <c:ptCount val="3"/>
                <c:pt idx="0">
                  <c:v>53 % нарушение правил организации поездной и маневровой работы</c:v>
                </c:pt>
                <c:pt idx="1">
                  <c:v>14 % неудовлетворительное текущее содержания пути</c:v>
                </c:pt>
                <c:pt idx="2">
                  <c:v>14 % причина устанавливается</c:v>
                </c:pt>
              </c:strCache>
            </c:strRef>
          </c:cat>
          <c:val>
            <c:numRef>
              <c:f>(Лист1!$C$28,Лист1!$C$27,Лист1!$C$34)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/>
      <c:txPr>
        <a:bodyPr/>
        <a:lstStyle/>
        <a:p>
          <a:pPr rtl="0">
            <a:defRPr/>
          </a:pPr>
          <a:endParaRPr lang="ru-RU"/>
        </a:p>
      </c:txPr>
    </c:legend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+mn-cs"/>
              </a:defRPr>
            </a:pPr>
            <a:r>
              <a:rPr lang="ru-RU" sz="1400" b="1" i="0" baseline="0"/>
              <a:t>Причины сходов железнодорожного подвижного состава, допущенных на путях необщего пользования за </a:t>
            </a:r>
            <a:r>
              <a:rPr lang="en-US" sz="1400" b="1" i="0" baseline="0"/>
              <a:t>IV</a:t>
            </a:r>
            <a:r>
              <a:rPr lang="ru-RU" sz="1400" b="1" i="0" baseline="0"/>
              <a:t> квартал 2024 года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+mn-cs"/>
              </a:defRPr>
            </a:pPr>
            <a:endParaRPr lang="ru-RU" sz="1400"/>
          </a:p>
        </c:rich>
      </c:tx>
      <c:layout/>
    </c:title>
    <c:plotArea>
      <c:layout>
        <c:manualLayout>
          <c:layoutTarget val="inner"/>
          <c:xMode val="edge"/>
          <c:yMode val="edge"/>
          <c:x val="0.15165980978584942"/>
          <c:y val="0.25330591637828731"/>
          <c:w val="0.3560197742683584"/>
          <c:h val="0.56161938356431562"/>
        </c:manualLayout>
      </c:layout>
      <c:pieChart>
        <c:varyColors val="1"/>
        <c:ser>
          <c:idx val="0"/>
          <c:order val="0"/>
          <c:explosion val="6"/>
          <c:dLbls>
            <c:dLbl>
              <c:idx val="0"/>
              <c:layout>
                <c:manualLayout>
                  <c:x val="2.5123370160218712E-2"/>
                  <c:y val="-5.4568953032359313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1.7945264400156223E-2"/>
                  <c:y val="3.3198735931871677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3.2301475920281202E-2"/>
                  <c:y val="-1.2943536441443087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2.332884372020309E-2"/>
                  <c:y val="-2.3435838946204896E-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-1.7945264400156223E-2"/>
                  <c:y val="-3.0747722093415881E-2"/>
                </c:manualLayout>
              </c:layout>
              <c:dLblPos val="bestFit"/>
              <c:showVal val="1"/>
            </c:dLbl>
            <c:dLblPos val="outEnd"/>
            <c:showVal val="1"/>
            <c:showLeaderLines val="1"/>
          </c:dLbls>
          <c:cat>
            <c:strRef>
              <c:f>(Лист1!$C$65,Лист1!$C$64,Лист1!$C$68)</c:f>
              <c:strCache>
                <c:ptCount val="3"/>
                <c:pt idx="0">
                  <c:v>57 % нарушение правил организации маневровой работы</c:v>
                </c:pt>
                <c:pt idx="1">
                  <c:v>36 % неудовлетворительное текущее содержание железнодорожного пути</c:v>
                </c:pt>
                <c:pt idx="2">
                  <c:v>7 % нарушение технологии производства путевых работ</c:v>
                </c:pt>
              </c:strCache>
            </c:strRef>
          </c:cat>
          <c:val>
            <c:numRef>
              <c:f>(Лист1!$B$65,Лист1!$B$64,Лист1!$B$68)</c:f>
              <c:numCache>
                <c:formatCode>General</c:formatCode>
                <c:ptCount val="3"/>
                <c:pt idx="0">
                  <c:v>8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/>
      <c:txPr>
        <a:bodyPr/>
        <a:lstStyle/>
        <a:p>
          <a:pPr rtl="0">
            <a:defRPr/>
          </a:pPr>
          <a:endParaRPr lang="ru-RU"/>
        </a:p>
      </c:txPr>
    </c:legend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1416</Characters>
  <Application>Microsoft Office Word</Application>
  <DocSecurity>0</DocSecurity>
  <Lines>11</Lines>
  <Paragraphs>3</Paragraphs>
  <ScaleCrop>false</ScaleCrop>
  <Company>ФГКУ Росгранстрой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Harsekina_OV</dc:creator>
  <cp:lastModifiedBy>Harsekina_OV</cp:lastModifiedBy>
  <cp:revision>1</cp:revision>
  <dcterms:created xsi:type="dcterms:W3CDTF">2025-01-29T09:53:00Z</dcterms:created>
  <dcterms:modified xsi:type="dcterms:W3CDTF">2025-01-29T09:56:00Z</dcterms:modified>
</cp:coreProperties>
</file>